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三河市供销合作社联合社</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供销合作社联合社</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（一）负责宣传、贯彻党和政府有关农村工作和社会发展的方针、政策，制定并组织实施供销合作社发展规则。</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  (二）协调与政府部门、社会组织的关系，维护供销合作社《章程》赋予的合法权益，促进合作经济的发展。</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 (三）负责指导农民合作经济组织联合会、供销社系统行业协会建设，增强服务功能；协助有关部门加强对农场品行业协会的管理和指导，积极领办农民专业合作社；组织行业协会承办政府购买服务。</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 (四）负责流通领域盐业管理，依法加强盐政管理，做好食盐专营和储备工作；按照政府授权，负责烟花爆竹批发、零售网络经营的监督管理；管理政府委托的物资、商品储备。</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（五）负责基层供销合作社的组织建设；监督指导基层供销合作社的经营管理和改革发展。</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 （六）负责运营监管本级社有资产，接受上级设有资产监督。对出资企业行使出资人职能，推进直属企业改革，建立健全现代企业制度，做大做强设有企业；负责系统财产安全统筹管理。</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 xml:space="preserve"> （七）负责全系统内部稳定工作。主要负责对破产失业职工档案管理、退休手续呈报、再就业政策落实和稳控工作；对退休人员医保费收取及遗属补助发放工作，以及破产后遗留各种问题处理工作。</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（八）完成上级主管部门交办的各项业务工作。</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（九）承办市政府交办的其他事项。</w:t>
      </w:r>
    </w:p>
    <w:p>
      <w:pPr>
        <w:pStyle w:val="19"/>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450"/>
        <w:rPr>
          <w:rFonts w:ascii="仿宋_GB2312" w:hAnsi="仿宋" w:eastAsia="仿宋_GB2312"/>
          <w:color w:val="000000"/>
          <w:sz w:val="32"/>
          <w:szCs w:val="32"/>
          <w:lang w:eastAsia="zh-CN"/>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18"/>
        <w:gridCol w:w="1493"/>
        <w:gridCol w:w="1400"/>
        <w:gridCol w:w="32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361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49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0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24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12" w:hRule="atLeast"/>
          <w:tblHeader/>
          <w:jc w:val="center"/>
        </w:trPr>
        <w:tc>
          <w:tcPr>
            <w:tcW w:w="3618" w:type="dxa"/>
            <w:vMerge w:val="continue"/>
            <w:shd w:val="clear" w:color="auto" w:fill="auto"/>
            <w:vAlign w:val="center"/>
          </w:tcPr>
          <w:p/>
        </w:tc>
        <w:tc>
          <w:tcPr>
            <w:tcW w:w="1493" w:type="dxa"/>
            <w:vMerge w:val="continue"/>
            <w:shd w:val="clear" w:color="auto" w:fill="auto"/>
            <w:vAlign w:val="center"/>
          </w:tcPr>
          <w:p/>
        </w:tc>
        <w:tc>
          <w:tcPr>
            <w:tcW w:w="1400" w:type="dxa"/>
            <w:vMerge w:val="continue"/>
            <w:shd w:val="clear" w:color="auto" w:fill="auto"/>
            <w:vAlign w:val="center"/>
          </w:tcPr>
          <w:p/>
        </w:tc>
        <w:tc>
          <w:tcPr>
            <w:tcW w:w="324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618"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三河市供销合作社联合社</w:t>
            </w:r>
          </w:p>
        </w:tc>
        <w:tc>
          <w:tcPr>
            <w:tcW w:w="149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400"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324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财政性资金基本保证（全额事业）</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供销合作社联合社</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2年预算收入562.80万元，其中：一般公共预算收入562.80万元，基金预算收入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供销合作社联合社</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2年支出预算562.80万元，其中基本支出496.32万元，包括人员类项目经费479.99万元和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公用项目经费16.33万元；运转类其他及特定目标类项目支出66.48万元，包括本级支出，主要为</w:t>
      </w:r>
      <w:r>
        <w:rPr>
          <w:rFonts w:hint="eastAsia" w:ascii="Times New Roman" w:hAnsi="Times New Roman" w:eastAsia="仿宋_GB2312" w:cs="Times New Roman"/>
          <w:sz w:val="32"/>
          <w:szCs w:val="32"/>
        </w:rPr>
        <w:t>三河市农村产权交易中心运行经费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解决历史遗留问题经费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安全生产经费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2年预算收支安排562.80万元，较20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rPr>
        <w:t>36.43</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36.93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在职人员减少人员及日常经费减少</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增加档案管理经费项目</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16.33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供销合作社联合社</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r>
        <w:rPr>
          <w:rFonts w:ascii="Times New Roman" w:hAnsi="Times New Roman" w:eastAsia="仿宋_GB2312" w:cs="Times New Roman"/>
          <w:sz w:val="32"/>
          <w:szCs w:val="32"/>
        </w:rPr>
        <w:t xml:space="preserve"> </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贯彻落实党和政府有关以供销合作社体系为依托，自下而上组建农民合作社联合社、创新组织体系、服务体系和农村金融体系，负责供销合作社系统综合业务管理和机关综合事务管理，调节商品供求关系，稳定物价、保障市场供应，要把为农服务放在首位，面向农业现代化、面向农民生产生活，推动供销合作社由流通服务向全程农业社会化服务延伸、向全方位城乡社区服务拓展， 加快形成综合性、规模化、可持续的为农服务体系，在农资供应、农产品流通、农民技能培训等重点领域和环节为农民提供便利实惠、安全优质的服务 ，确保各项业务工作谋划到位、顺利开展,保障机关工作正常高效运转。</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分类绩效目标情况说明</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 xml:space="preserve">1.加强供销流通管理 </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绩效目标：确保供销社事业改革、发展和壮大、发挥供销社在商业流通服务的作用，社属企业运营管理及建设   绩效指标：一是发展现代流通网络建设及管理，完善网络体系，发挥一网多用、双向流通的作用，在农资供应、农产品流通、农村服务等重点领域和环节为农民提供便利实惠、安全优质的服务。实现全县供销社流通网络购销额增长率≥5%。二是指导社属企业经营管理，对社属企业进行监督检查，完善企业运营管理制度并监督执行达到≥90%，行使出资人职能、确保社有资产的安全和增值，社有企业实现跨越式发展，供销社体制机制明显优化。</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2、服务三农事务管理更加高效绩效目标：紧紧围绕“三农”工作大局，以密切与农民利益联结为核心，以提升为农服务能力为根本，以强化基 层社和创新联合社治理机制为重点，按照政事分开、社企分开的方向，推进体制改革和机制创新，加快建成适应社会主义市场经济需要、适应城乡发展一体化需要、适应中国特色农业现代化需要的组织体系和服务机制。</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一是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实现服务体系在所有行政村中的覆盖比率达≥50%以上。 二是对农户承包土地经营权、林权、“四荒”使用权、农村集体经营性资产、农村集体经济组织股权、农业生产性设施设备、小型水利设施使用权、农业类知识产权、农村宅基地使用权、农村生物资产、农村建设项目招标、产业项目招商和转让、农村产权质（抵）押、融资服务、其他事宜在交易市场流转交易的农村产权等农村产权交易，进行管理、成立监管机构、出台配套政策、规范交易监管，推动农村产权有序流动达≥70%，更高效的为农服务。</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 xml:space="preserve">3、进一步规范供销合作政务管理 </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绩效目标：确保各项业务工作谋划到位、顺利开展,保障机关高效运转确保各项业务工作谋划到位、顺利开展。</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一是制订系统发展战略和规划、指导系统业务活动和综合改革试点及事业发展；开展行业调查研究，制定相关行业政策、法规规章制度；信访接待、业务宣传、信息公开。系统业务活动完成情况达到≥95%以上二是会议组织管理、信息化建设与维护、机关财务和资产管理、标准化建设、基建及维修、设备购置、人事管理、机关党工委工作、老干部工作、下岗特困职工帮扶安置工作等问题的办理完成情况达到≥95%。使机关工作更加高效运转。</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4、强化物资储备管理    绩效目标：充分发挥供销社在流通领域的应急调控作用，保障重要商品物资储备及监管，食盐在生产、流通环节的安全。</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绩效指标：调节商品供求关系，稳定物价、保障市场供应、保证防汛救灾的需要、增强政府对市场的宏观调控能力和应急保障，物资储备质量完好率、储备计划完成率均达到≥100%，保质保量做好储备商品的收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1.进一步推进市农村产权交易中心运行，贯彻落实省社新修订的《河北省农村产权交易管理办法》和《农村产权交易机构建设和服务规范》，以市农村产权交易中心为龙头，加强与省农村产权交易中心的联系对接，重点推进了农村产权交易体系规范化建设，主动为土地租赁提供服务，大力宣传土地流转交易政策，全面推动服务站点向镇区和村级覆盖。切实发挥供销社服务“三农”的独特优势和重要载体作用，努力提升为农服务水平。一是采取走出去方式，组织业务骨干参观学习发达地区综合改革经验，积极探索，稳步推进，并结合我市实际，通过深化综合改革，进一步激发内生动力和发展活力，加快推进基层社改造，领办创办农民合作社，全面提升为农服务水平，充分发挥“农合联”在合作经济组织与农民群众的桥梁纽带作用。二是按照职责分工，市供销社党组成员将深入基层开展调研活动，帮助下属企业、专业合作社解决实际问题。</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2.三河市海晶盐业专营有限公司于2006年7月18日登记成立，公司员工12人，是一家从事盐产品销售的公司，公司担负着全市人口的食盐供给工作，同时也承担着廊坊市政府食盐储备的任务。今年以来面对资金困难，食盐价格上涨，激烈的市场竞争，疫情防控等诸多不利因素的影响，海晶盐业公司众志成城，齐心协力，开源节流，不断增加进货渠道，拓宽销售渠道，增加销售覆盖面，在保证食用盐安全的前提下，圆满完成全年的销售任务。</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3.全面做好系统维稳工作。我们对系统内涉军重点人员通过联系走访座谈，解决实际困难等方式成功将涉军重点人员稳控在当地，避免了全国“两会”及其他重大节日期间进京滋事出丑事件的发生。同时对系统内遗留的历史问题进行详细安排部署，安排专人及时进行解决。积极帮助解决实际困难，时刻掌握其动态情况，随时与他们保持联系，确保不发生越级访异地访。对系统内遗留的历史问题进行再安排再部署，明确专人负责，强化信访隐患排查。对排查到的历史遗留问题及时妥善加以解决，切实消除信访安全隐患，维护本系统和全市的和谐稳定工作。</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供销社以实施乡村振兴战略为引领，践行服务“三农”根本宗旨，全力构建为农服务体系，助力三河乡村振兴</w:t>
      </w:r>
      <w:r>
        <w:rPr>
          <w:rFonts w:hint="eastAsia" w:ascii="仿宋_GB2312" w:eastAsia="仿宋_GB2312" w:cs="Times New Roman"/>
          <w:sz w:val="32"/>
          <w:szCs w:val="32"/>
          <w:lang w:eastAsia="zh-CN"/>
        </w:rPr>
        <w:t>。</w:t>
      </w:r>
      <w:r>
        <w:rPr>
          <w:rFonts w:ascii="仿宋_GB2312" w:eastAsia="仿宋_GB2312" w:cs="Times New Roman"/>
          <w:sz w:val="32"/>
          <w:szCs w:val="32"/>
        </w:rPr>
        <w:t>下步工作中，一要继续发挥供销社在“三农”领域的联合优势，依托龙头企业，加大力度开展土地托管服务。二要继续发挥农民专业合作社带动作用，加大宣传力度，增强农民对专业合作社的了解，提高农民专业知识。三要做好盐业专营工作，强化盐业领域管理，要保证全市日常供给，特别是应急保障。四要解决好现有改革遗留问题，延续好现有政策，做好群体服务，增强群体的历史认同感和归属感。五要发挥好为农服务的职能，围绕“三农”服务，建立健全农村产权流转市场体系，推进产权交易中心发挥职能，按照产业化、职能化的标准经营，全力做好涉农交易各项重点工作，持续发挥引领作用。</w:t>
      </w: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p>
    <w:p>
      <w:pPr>
        <w:overflowPunct w:val="0"/>
        <w:adjustRightInd w:val="0"/>
        <w:snapToGrid w:val="0"/>
        <w:spacing w:after="156" w:afterLines="50" w:line="580" w:lineRule="exact"/>
        <w:ind w:firstLine="627" w:firstLineChars="196"/>
        <w:jc w:val="left"/>
        <w:rPr>
          <w:rFonts w:ascii="仿宋_GB2312" w:eastAsia="仿宋_GB2312" w:cs="Times New Roman"/>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13624" w:type="dxa"/>
        <w:jc w:val="center"/>
        <w:tblInd w:w="-1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08"/>
        <w:gridCol w:w="1417"/>
        <w:gridCol w:w="1560"/>
        <w:gridCol w:w="2445"/>
        <w:gridCol w:w="1985"/>
        <w:gridCol w:w="1199"/>
        <w:gridCol w:w="992"/>
        <w:gridCol w:w="1276"/>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35" w:hRule="atLeast"/>
          <w:tblHeader/>
          <w:jc w:val="center"/>
        </w:trPr>
        <w:tc>
          <w:tcPr>
            <w:tcW w:w="10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4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6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4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9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46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4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47" w:hRule="atLeast"/>
          <w:tblHeader/>
          <w:jc w:val="center"/>
        </w:trPr>
        <w:tc>
          <w:tcPr>
            <w:tcW w:w="1008" w:type="dxa"/>
            <w:vMerge w:val="continue"/>
            <w:tcBorders>
              <w:tl2br w:val="nil"/>
              <w:tr2bl w:val="nil"/>
            </w:tcBorders>
            <w:vAlign w:val="center"/>
          </w:tcPr>
          <w:p/>
        </w:tc>
        <w:tc>
          <w:tcPr>
            <w:tcW w:w="1417" w:type="dxa"/>
            <w:vMerge w:val="continue"/>
            <w:tcBorders>
              <w:tl2br w:val="nil"/>
              <w:tr2bl w:val="nil"/>
            </w:tcBorders>
            <w:vAlign w:val="center"/>
          </w:tcPr>
          <w:p/>
        </w:tc>
        <w:tc>
          <w:tcPr>
            <w:tcW w:w="1560" w:type="dxa"/>
            <w:vMerge w:val="continue"/>
            <w:tcBorders>
              <w:tl2br w:val="nil"/>
              <w:tr2bl w:val="nil"/>
            </w:tcBorders>
            <w:vAlign w:val="center"/>
          </w:tcPr>
          <w:p/>
        </w:tc>
        <w:tc>
          <w:tcPr>
            <w:tcW w:w="2445" w:type="dxa"/>
            <w:vMerge w:val="continue"/>
            <w:tcBorders>
              <w:tl2br w:val="nil"/>
              <w:tr2bl w:val="nil"/>
            </w:tcBorders>
            <w:vAlign w:val="center"/>
          </w:tcPr>
          <w:p/>
        </w:tc>
        <w:tc>
          <w:tcPr>
            <w:tcW w:w="1985" w:type="dxa"/>
            <w:vMerge w:val="continue"/>
            <w:tcBorders>
              <w:tl2br w:val="nil"/>
              <w:tr2bl w:val="nil"/>
            </w:tcBorders>
            <w:vAlign w:val="center"/>
          </w:tcPr>
          <w:p/>
        </w:tc>
        <w:tc>
          <w:tcPr>
            <w:tcW w:w="119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99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27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4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9" w:hRule="atLeast"/>
          <w:jc w:val="center"/>
        </w:trPr>
        <w:tc>
          <w:tcPr>
            <w:tcW w:w="100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 xml:space="preserve">综合行政事务办结率   </w:t>
            </w:r>
          </w:p>
        </w:tc>
        <w:tc>
          <w:tcPr>
            <w:tcW w:w="24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行政性事务的办理完成情况</w:t>
            </w:r>
          </w:p>
        </w:tc>
        <w:tc>
          <w:tcPr>
            <w:tcW w:w="1985" w:type="dxa"/>
            <w:tcBorders>
              <w:tl2br w:val="nil"/>
              <w:tr2bl w:val="nil"/>
            </w:tcBorders>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100.00</w:t>
            </w: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30" w:hRule="atLeast"/>
          <w:jc w:val="center"/>
        </w:trPr>
        <w:tc>
          <w:tcPr>
            <w:tcW w:w="1008"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社会能力提升率</w:t>
            </w:r>
          </w:p>
        </w:tc>
        <w:tc>
          <w:tcPr>
            <w:tcW w:w="24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单位服务社会能力提升情况</w:t>
            </w:r>
          </w:p>
        </w:tc>
        <w:tc>
          <w:tcPr>
            <w:tcW w:w="1985" w:type="dxa"/>
            <w:tcBorders>
              <w:tl2br w:val="nil"/>
              <w:tr2bl w:val="nil"/>
            </w:tcBorders>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92" w:type="dxa"/>
            <w:tcBorders>
              <w:tl2br w:val="nil"/>
              <w:tr2bl w:val="nil"/>
            </w:tcBorders>
            <w:vAlign w:val="center"/>
          </w:tcPr>
          <w:p>
            <w:pPr>
              <w:widowControl/>
              <w:adjustRightInd w:val="0"/>
              <w:snapToGrid w:val="0"/>
              <w:jc w:val="center"/>
              <w:rPr>
                <w:rFonts w:ascii="方正书宋_GBK" w:eastAsia="方正书宋_GBK"/>
              </w:rPr>
            </w:pP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有效提升</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70" w:hRule="atLeast"/>
          <w:jc w:val="center"/>
        </w:trPr>
        <w:tc>
          <w:tcPr>
            <w:tcW w:w="1008"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工作完成时间</w:t>
            </w:r>
          </w:p>
        </w:tc>
        <w:tc>
          <w:tcPr>
            <w:tcW w:w="24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预计12月份完成项目工作</w:t>
            </w:r>
          </w:p>
        </w:tc>
        <w:tc>
          <w:tcPr>
            <w:tcW w:w="1985" w:type="dxa"/>
            <w:tcBorders>
              <w:tl2br w:val="nil"/>
              <w:tr2bl w:val="nil"/>
            </w:tcBorders>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年</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30" w:hRule="atLeast"/>
          <w:jc w:val="center"/>
        </w:trPr>
        <w:tc>
          <w:tcPr>
            <w:tcW w:w="1008"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成本控制率</w:t>
            </w:r>
          </w:p>
        </w:tc>
        <w:tc>
          <w:tcPr>
            <w:tcW w:w="24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预算执行情况</w:t>
            </w:r>
          </w:p>
        </w:tc>
        <w:tc>
          <w:tcPr>
            <w:tcW w:w="1985" w:type="dxa"/>
            <w:tcBorders>
              <w:tl2br w:val="nil"/>
              <w:tr2bl w:val="nil"/>
            </w:tcBorders>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92" w:type="dxa"/>
            <w:tcBorders>
              <w:tl2br w:val="nil"/>
              <w:tr2bl w:val="nil"/>
            </w:tcBorders>
            <w:vAlign w:val="center"/>
          </w:tcPr>
          <w:p>
            <w:pPr>
              <w:widowControl/>
              <w:adjustRightInd w:val="0"/>
              <w:snapToGrid w:val="0"/>
              <w:jc w:val="center"/>
              <w:rPr>
                <w:rFonts w:ascii="方正书宋_GBK" w:eastAsia="方正书宋_GBK"/>
              </w:rPr>
            </w:pP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严格按规定执行</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30" w:hRule="atLeast"/>
          <w:jc w:val="center"/>
        </w:trPr>
        <w:tc>
          <w:tcPr>
            <w:tcW w:w="100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社会效益补助人群生活改善情况</w:t>
            </w:r>
          </w:p>
        </w:tc>
        <w:tc>
          <w:tcPr>
            <w:tcW w:w="24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补助人群在生活、医疗、护理、教育等方面的改善情况</w:t>
            </w:r>
          </w:p>
        </w:tc>
        <w:tc>
          <w:tcPr>
            <w:tcW w:w="1985" w:type="dxa"/>
            <w:tcBorders>
              <w:tl2br w:val="nil"/>
              <w:tr2bl w:val="nil"/>
            </w:tcBorders>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100.00</w:t>
            </w: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调查走访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30" w:hRule="atLeast"/>
          <w:jc w:val="center"/>
        </w:trPr>
        <w:tc>
          <w:tcPr>
            <w:tcW w:w="1008"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办公效率提高率</w:t>
            </w:r>
          </w:p>
        </w:tc>
        <w:tc>
          <w:tcPr>
            <w:tcW w:w="24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有效提高办公效率</w:t>
            </w:r>
          </w:p>
        </w:tc>
        <w:tc>
          <w:tcPr>
            <w:tcW w:w="1985" w:type="dxa"/>
            <w:tcBorders>
              <w:tl2br w:val="nil"/>
              <w:tr2bl w:val="nil"/>
            </w:tcBorders>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100.00</w:t>
            </w: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30" w:hRule="atLeast"/>
          <w:jc w:val="center"/>
        </w:trPr>
        <w:tc>
          <w:tcPr>
            <w:tcW w:w="1008"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56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社会稳定水平</w:t>
            </w:r>
          </w:p>
        </w:tc>
        <w:tc>
          <w:tcPr>
            <w:tcW w:w="244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通过开展项目社会稳定水平逐步提高</w:t>
            </w:r>
          </w:p>
        </w:tc>
        <w:tc>
          <w:tcPr>
            <w:tcW w:w="1985" w:type="dxa"/>
            <w:tcBorders>
              <w:tl2br w:val="nil"/>
              <w:tr2bl w:val="nil"/>
            </w:tcBorders>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92" w:type="dxa"/>
            <w:tcBorders>
              <w:tl2br w:val="nil"/>
              <w:tr2bl w:val="nil"/>
            </w:tcBorders>
            <w:vAlign w:val="center"/>
          </w:tcPr>
          <w:p>
            <w:pPr>
              <w:widowControl/>
              <w:adjustRightInd w:val="0"/>
              <w:snapToGrid w:val="0"/>
              <w:jc w:val="center"/>
              <w:rPr>
                <w:rFonts w:ascii="方正书宋_GBK" w:eastAsia="方正书宋_GBK"/>
              </w:rPr>
            </w:pP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逐步提高</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90" w:hRule="atLeast"/>
          <w:jc w:val="center"/>
        </w:trPr>
        <w:tc>
          <w:tcPr>
            <w:tcW w:w="1008" w:type="dxa"/>
            <w:vMerge w:val="continue"/>
            <w:tcBorders>
              <w:tl2br w:val="nil"/>
              <w:tr2bl w:val="nil"/>
            </w:tcBorders>
            <w:vAlign w:val="center"/>
          </w:tcPr>
          <w:p/>
        </w:tc>
        <w:tc>
          <w:tcPr>
            <w:tcW w:w="1417"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6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开展项目产生的效益</w:t>
            </w:r>
          </w:p>
        </w:tc>
        <w:tc>
          <w:tcPr>
            <w:tcW w:w="244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提高业务能力</w:t>
            </w:r>
          </w:p>
        </w:tc>
        <w:tc>
          <w:tcPr>
            <w:tcW w:w="1985" w:type="dxa"/>
            <w:tcBorders>
              <w:tl2br w:val="nil"/>
              <w:tr2bl w:val="nil"/>
            </w:tcBorders>
            <w:noWrap/>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992" w:type="dxa"/>
            <w:tcBorders>
              <w:tl2br w:val="nil"/>
              <w:tr2bl w:val="nil"/>
            </w:tcBorders>
            <w:vAlign w:val="center"/>
          </w:tcPr>
          <w:p>
            <w:pPr>
              <w:widowControl/>
              <w:adjustRightInd w:val="0"/>
              <w:snapToGrid w:val="0"/>
              <w:jc w:val="center"/>
              <w:rPr>
                <w:rFonts w:ascii="方正书宋_GBK" w:eastAsia="方正书宋_GBK"/>
              </w:rPr>
            </w:pP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有效提升</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实际工作体现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20" w:hRule="atLeast"/>
          <w:jc w:val="center"/>
        </w:trPr>
        <w:tc>
          <w:tcPr>
            <w:tcW w:w="1008" w:type="dxa"/>
            <w:vMerge w:val="continue"/>
            <w:tcBorders>
              <w:tl2br w:val="nil"/>
              <w:tr2bl w:val="nil"/>
            </w:tcBorders>
            <w:vAlign w:val="center"/>
          </w:tcP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6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群众满意度</w:t>
            </w:r>
          </w:p>
        </w:tc>
        <w:tc>
          <w:tcPr>
            <w:tcW w:w="2445"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群众满意数量占总数的比例。</w:t>
            </w:r>
          </w:p>
        </w:tc>
        <w:tc>
          <w:tcPr>
            <w:tcW w:w="1985" w:type="dxa"/>
            <w:tcBorders>
              <w:tl2br w:val="nil"/>
              <w:tr2bl w:val="nil"/>
            </w:tcBorders>
            <w:noWrap/>
          </w:tcPr>
          <w:p>
            <w:pPr>
              <w:widowControl/>
              <w:adjustRightInd w:val="0"/>
              <w:snapToGrid w:val="0"/>
              <w:jc w:val="center"/>
              <w:rPr>
                <w:rFonts w:ascii="方正书宋_GBK" w:eastAsia="方正书宋_GBK"/>
              </w:rPr>
            </w:pPr>
            <w:r>
              <w:rPr>
                <w:rFonts w:hint="eastAsia" w:ascii="方正书宋_GBK" w:eastAsia="方正书宋_GBK"/>
              </w:rPr>
              <w:t>是否按规定完成</w:t>
            </w:r>
          </w:p>
        </w:tc>
        <w:tc>
          <w:tcPr>
            <w:tcW w:w="1199"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100.00</w:t>
            </w:r>
          </w:p>
        </w:tc>
        <w:tc>
          <w:tcPr>
            <w:tcW w:w="1276"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74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调查走访</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rPr>
        <w:t xml:space="preserve"> </w:t>
      </w:r>
      <w:r>
        <w:rPr>
          <w:rFonts w:hint="eastAsia" w:ascii="Times New Roman" w:hAnsi="Times New Roman" w:eastAsia="仿宋_GB2312" w:cs="Times New Roman"/>
          <w:sz w:val="28"/>
        </w:rPr>
        <w:t>安全生产经费绩效目标表</w:t>
      </w:r>
      <w:r>
        <w:rPr>
          <w:rFonts w:ascii="Times New Roman" w:hAnsi="Times New Roman" w:eastAsia="仿宋_GB2312" w:cs="Times New Roman"/>
          <w:sz w:val="28"/>
        </w:rPr>
        <w:t>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86"/>
        <w:gridCol w:w="2127"/>
        <w:gridCol w:w="1984"/>
        <w:gridCol w:w="2552"/>
        <w:gridCol w:w="1559"/>
        <w:gridCol w:w="4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876"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1.通过开展安全生产项目工作的开展安全生产标准化达标率明显提升，安全隐患及时整改，达到安全生产零事故</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2.为农民提供更安全专业优质的服务，把供销合作系统打造成为与农民连接更紧密、为农服务更完备、市场化运行更高效安全的运行。向工作人员宣传安全生产知识</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3.为加强安全生产意识，对机关工作人员进行宣传安全知识，更高效更安全的市场化运行。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18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55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65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6" w:type="dxa"/>
            <w:vMerge w:val="restart"/>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tc>
        <w:tc>
          <w:tcPr>
            <w:tcW w:w="2127"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印制墙体宣传展板个数</w:t>
            </w:r>
          </w:p>
        </w:tc>
        <w:tc>
          <w:tcPr>
            <w:tcW w:w="2552"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印制墙体宣传展板个数</w:t>
            </w:r>
          </w:p>
        </w:tc>
        <w:tc>
          <w:tcPr>
            <w:tcW w:w="1559"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10个</w:t>
            </w:r>
          </w:p>
        </w:tc>
        <w:tc>
          <w:tcPr>
            <w:tcW w:w="465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三安办（2017）149号文件关于印发《马凯副总理合郭声琨、王勇国务委员在全国安全生产电视电话会议上的讲话》的通知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6" w:type="dxa"/>
            <w:vMerge w:val="continue"/>
            <w:shd w:val="clear" w:color="auto" w:fill="auto"/>
            <w:vAlign w:val="center"/>
          </w:tcPr>
          <w:p/>
        </w:tc>
        <w:tc>
          <w:tcPr>
            <w:tcW w:w="2127"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隐患排查率</w:t>
            </w:r>
          </w:p>
        </w:tc>
        <w:tc>
          <w:tcPr>
            <w:tcW w:w="2552"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实际隐患排查数量占隐患总数的比例</w:t>
            </w:r>
          </w:p>
        </w:tc>
        <w:tc>
          <w:tcPr>
            <w:tcW w:w="1559"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65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6" w:type="dxa"/>
            <w:vMerge w:val="continue"/>
            <w:shd w:val="clear" w:color="auto" w:fill="auto"/>
            <w:vAlign w:val="center"/>
          </w:tcPr>
          <w:p/>
        </w:tc>
        <w:tc>
          <w:tcPr>
            <w:tcW w:w="2127"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工作完成情况</w:t>
            </w:r>
          </w:p>
        </w:tc>
        <w:tc>
          <w:tcPr>
            <w:tcW w:w="2552"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预计12月底前完成工作计划</w:t>
            </w:r>
          </w:p>
        </w:tc>
        <w:tc>
          <w:tcPr>
            <w:tcW w:w="1559"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1年</w:t>
            </w:r>
          </w:p>
        </w:tc>
        <w:tc>
          <w:tcPr>
            <w:tcW w:w="465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6" w:type="dxa"/>
            <w:vMerge w:val="continue"/>
            <w:shd w:val="clear" w:color="auto" w:fill="auto"/>
            <w:vAlign w:val="center"/>
          </w:tcPr>
          <w:p/>
        </w:tc>
        <w:tc>
          <w:tcPr>
            <w:tcW w:w="2127"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印制墙体宣传展板单位成本</w:t>
            </w:r>
          </w:p>
        </w:tc>
        <w:tc>
          <w:tcPr>
            <w:tcW w:w="2552"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印制墙体宣传展板单位成本</w:t>
            </w:r>
          </w:p>
        </w:tc>
        <w:tc>
          <w:tcPr>
            <w:tcW w:w="1559"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300元/个</w:t>
            </w:r>
          </w:p>
        </w:tc>
        <w:tc>
          <w:tcPr>
            <w:tcW w:w="465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三安办（2017）149号文件关于印发《马凯副总理合郭声琨、王勇国务委员在全国安全生产电视电话会议上的讲话》的通知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6"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2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隐患整改率</w:t>
            </w:r>
          </w:p>
        </w:tc>
        <w:tc>
          <w:tcPr>
            <w:tcW w:w="255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已整改隐患数占执法发现的隐患总数的比率</w:t>
            </w:r>
          </w:p>
        </w:tc>
        <w:tc>
          <w:tcPr>
            <w:tcW w:w="1559"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65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实际工作体现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6"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27"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重大安全事故次数</w:t>
            </w:r>
          </w:p>
        </w:tc>
        <w:tc>
          <w:tcPr>
            <w:tcW w:w="2552"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发生重大安全事故的总次数</w:t>
            </w:r>
          </w:p>
        </w:tc>
        <w:tc>
          <w:tcPr>
            <w:tcW w:w="1559"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0次</w:t>
            </w:r>
          </w:p>
        </w:tc>
        <w:tc>
          <w:tcPr>
            <w:tcW w:w="4654" w:type="dxa"/>
            <w:shd w:val="clear" w:color="auto" w:fill="auto"/>
            <w:vAlign w:val="center"/>
          </w:tcPr>
          <w:p>
            <w:pPr>
              <w:pStyle w:val="14"/>
              <w:spacing w:line="300" w:lineRule="exact"/>
              <w:jc w:val="center"/>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实际工作体现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186"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2552"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对社属企业安全生产宣传、指导满意度</w:t>
            </w:r>
          </w:p>
        </w:tc>
        <w:tc>
          <w:tcPr>
            <w:tcW w:w="1559"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65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rPr>
        <w:t xml:space="preserve"> </w:t>
      </w:r>
      <w:r>
        <w:rPr>
          <w:rFonts w:hint="eastAsia" w:ascii="Times New Roman" w:hAnsi="Times New Roman" w:eastAsia="仿宋_GB2312" w:cs="Times New Roman"/>
          <w:sz w:val="28"/>
        </w:rPr>
        <w:t>档案管理经费绩效目标表</w:t>
      </w:r>
    </w:p>
    <w:p>
      <w:pPr>
        <w:spacing w:line="14" w:lineRule="exact"/>
        <w:ind w:firstLine="420" w:firstLineChars="200"/>
        <w:jc w:val="center"/>
        <w:rPr>
          <w:rFonts w:ascii="Times New Roman" w:hAnsi="Times New Roman" w:eastAsia="仿宋_GB2312" w:cs="Times New Roman"/>
        </w:rPr>
      </w:pPr>
    </w:p>
    <w:tbl>
      <w:tblPr>
        <w:tblStyle w:val="8"/>
        <w:tblW w:w="1424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0"/>
        <w:gridCol w:w="1843"/>
        <w:gridCol w:w="2126"/>
        <w:gridCol w:w="2268"/>
        <w:gridCol w:w="1843"/>
        <w:gridCol w:w="48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6" w:hRule="atLeast"/>
          <w:tblHeader/>
          <w:jc w:val="center"/>
        </w:trPr>
        <w:tc>
          <w:tcPr>
            <w:tcW w:w="12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969"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1.根据《中共河北省委办公厅河北省人民政府办公厅关于印发＜"十四五"河北省档案事业发展规划＞的通知(冀办字〔2021〕23号)文件要求,"十四五"末,档案工作目标管理认定要实现2A级级以上标准全覆盖.</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2.目前档案工作存在较大差距,通过开展此项目机关档案工作实现满足日常工作需要、分步实施建设、逐步提高档案管理要求。</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3.通过开展此项目争取在2022年底达到2A级标准实现十四五目标。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6" w:hRule="atLeast"/>
          <w:tblHeader/>
          <w:jc w:val="center"/>
        </w:trPr>
        <w:tc>
          <w:tcPr>
            <w:tcW w:w="128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88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1" w:hRule="atLeast"/>
          <w:jc w:val="center"/>
        </w:trPr>
        <w:tc>
          <w:tcPr>
            <w:tcW w:w="1280"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843"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2126"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组织培训学习及宣传次数</w:t>
            </w:r>
          </w:p>
        </w:tc>
        <w:tc>
          <w:tcPr>
            <w:tcW w:w="2268"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组织培训学习及宣传次数</w:t>
            </w:r>
          </w:p>
        </w:tc>
        <w:tc>
          <w:tcPr>
            <w:tcW w:w="1843"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≥3次</w:t>
            </w:r>
          </w:p>
        </w:tc>
        <w:tc>
          <w:tcPr>
            <w:tcW w:w="488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预计工作安排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03" w:hRule="atLeast"/>
          <w:jc w:val="center"/>
        </w:trPr>
        <w:tc>
          <w:tcPr>
            <w:tcW w:w="1280" w:type="dxa"/>
            <w:vMerge w:val="continue"/>
            <w:shd w:val="clear" w:color="auto" w:fill="auto"/>
            <w:vAlign w:val="center"/>
          </w:tcPr>
          <w:p/>
        </w:tc>
        <w:tc>
          <w:tcPr>
            <w:tcW w:w="1843"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2126"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正常运转率</w:t>
            </w:r>
          </w:p>
        </w:tc>
        <w:tc>
          <w:tcPr>
            <w:tcW w:w="2268"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正常运转率</w:t>
            </w:r>
          </w:p>
        </w:tc>
        <w:tc>
          <w:tcPr>
            <w:tcW w:w="1843"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88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《中共河北省委办公厅河北省人民政府办公厅关于印发＜"十四五"河北省档案事业发展规划＞的通知(冀办字〔2021〕23号)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1" w:hRule="atLeast"/>
          <w:jc w:val="center"/>
        </w:trPr>
        <w:tc>
          <w:tcPr>
            <w:tcW w:w="1280" w:type="dxa"/>
            <w:vMerge w:val="continue"/>
            <w:shd w:val="clear" w:color="auto" w:fill="auto"/>
            <w:vAlign w:val="center"/>
          </w:tcPr>
          <w:p/>
        </w:tc>
        <w:tc>
          <w:tcPr>
            <w:tcW w:w="1843"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2126"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及时完成率</w:t>
            </w:r>
          </w:p>
        </w:tc>
        <w:tc>
          <w:tcPr>
            <w:tcW w:w="2268"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及时完成率</w:t>
            </w:r>
          </w:p>
        </w:tc>
        <w:tc>
          <w:tcPr>
            <w:tcW w:w="1843"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88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《中共河北省委办公厅河北省人民政府办公厅关于印发＜"十四五"河北省档案事业发展规划＞的通知(冀办字〔2021〕23号)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1" w:hRule="atLeast"/>
          <w:jc w:val="center"/>
        </w:trPr>
        <w:tc>
          <w:tcPr>
            <w:tcW w:w="1280" w:type="dxa"/>
            <w:vMerge w:val="continue"/>
            <w:shd w:val="clear" w:color="auto" w:fill="auto"/>
            <w:vAlign w:val="center"/>
          </w:tcPr>
          <w:p/>
        </w:tc>
        <w:tc>
          <w:tcPr>
            <w:tcW w:w="1843"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2126"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成本控制额</w:t>
            </w:r>
          </w:p>
        </w:tc>
        <w:tc>
          <w:tcPr>
            <w:tcW w:w="2268"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成本控制额</w:t>
            </w:r>
          </w:p>
        </w:tc>
        <w:tc>
          <w:tcPr>
            <w:tcW w:w="1843"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%0.5万元</w:t>
            </w:r>
          </w:p>
        </w:tc>
        <w:tc>
          <w:tcPr>
            <w:tcW w:w="488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《中共河北省委办公厅河北省人民政府办公厅关于印发＜"十四五"河北省档案事业发展规划＞的通知(冀办字〔2021〕23号)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1" w:hRule="atLeast"/>
          <w:jc w:val="center"/>
        </w:trPr>
        <w:tc>
          <w:tcPr>
            <w:tcW w:w="1280" w:type="dxa"/>
            <w:vMerge w:val="continue"/>
            <w:shd w:val="clear" w:color="auto" w:fill="auto"/>
            <w:vAlign w:val="center"/>
          </w:tcP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21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开展项目产生的效益</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提高档案管理能力提升率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889"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《中共河北省委办公厅河北省人民政府办公厅关于印发＜"十四五"河北省档案事业发展规划＞的通知(冀办字〔2021〕23号)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1" w:hRule="atLeast"/>
          <w:jc w:val="center"/>
        </w:trPr>
        <w:tc>
          <w:tcPr>
            <w:tcW w:w="1280"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21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使用对象满意度</w:t>
            </w:r>
          </w:p>
        </w:tc>
        <w:tc>
          <w:tcPr>
            <w:tcW w:w="226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使用对象满意度</w:t>
            </w:r>
          </w:p>
        </w:tc>
        <w:tc>
          <w:tcPr>
            <w:tcW w:w="1843"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889"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ind w:firstLine="880" w:firstLineChars="200"/>
        <w:jc w:val="left"/>
        <w:outlineLvl w:val="1"/>
        <w:rPr>
          <w:rFonts w:ascii="Times New Roman" w:hAnsi="Times New Roman" w:eastAsia="黑体" w:cs="Times New Roman"/>
          <w:color w:val="FF0000"/>
          <w:sz w:val="44"/>
          <w:szCs w:val="44"/>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rPr>
        <w:t xml:space="preserve"> </w:t>
      </w:r>
      <w:r>
        <w:rPr>
          <w:rFonts w:hint="eastAsia" w:ascii="Times New Roman" w:hAnsi="Times New Roman" w:eastAsia="仿宋_GB2312" w:cs="Times New Roman"/>
          <w:sz w:val="28"/>
        </w:rPr>
        <w:t>三河市农村产权交易中心运行经费绩效目标表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1701"/>
        <w:gridCol w:w="1985"/>
        <w:gridCol w:w="1984"/>
        <w:gridCol w:w="1559"/>
        <w:gridCol w:w="55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4"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1.通过三河市农村产权交易中心正常运行预计可推动农村资产有序流动，形成流转交易；提供更为专业的为农服务。</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2.贯彻落实党和政府针对服务“三农”政策方针规范农村产权交易监管，对农村产权交易流转提供更专业的服务，配育和发展全市农村产权流转交易市场，规范农村产权流转交易行为，保障交易主体</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3.按时按规定发放职工工资、上缴保险等费用，做好培训、学习工作安排。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70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198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5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55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701"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发放工资人员数</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发放工资人员数</w:t>
            </w:r>
          </w:p>
        </w:tc>
        <w:tc>
          <w:tcPr>
            <w:tcW w:w="155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8名</w:t>
            </w:r>
          </w:p>
        </w:tc>
        <w:tc>
          <w:tcPr>
            <w:tcW w:w="550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三政办【2018】224号三河市人民政府办公室关于印发《三河市农村产权交易中心组建方案》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01"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单位成本</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单位成本</w:t>
            </w:r>
          </w:p>
        </w:tc>
        <w:tc>
          <w:tcPr>
            <w:tcW w:w="155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≤7.8万元</w:t>
            </w:r>
          </w:p>
        </w:tc>
        <w:tc>
          <w:tcPr>
            <w:tcW w:w="550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三安办（2017）149号文件关于印发《马凯副总理合郭声琨、王勇国务委员在全国安全生产电视电话会议上的讲话》的通知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tc>
        <w:tc>
          <w:tcPr>
            <w:tcW w:w="1701"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计划完成交易数量</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计划完成交易数量</w:t>
            </w:r>
          </w:p>
        </w:tc>
        <w:tc>
          <w:tcPr>
            <w:tcW w:w="155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≥30件</w:t>
            </w:r>
          </w:p>
        </w:tc>
        <w:tc>
          <w:tcPr>
            <w:tcW w:w="550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实际工作计划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tc>
        <w:tc>
          <w:tcPr>
            <w:tcW w:w="1701"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正常运转率</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使中心正常运转</w:t>
            </w:r>
          </w:p>
        </w:tc>
        <w:tc>
          <w:tcPr>
            <w:tcW w:w="155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550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三政办【2018】224号三河市人民政府办公室关于印发《三河市农村产权交易中心组建方案》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restart"/>
            <w:shd w:val="clear" w:color="auto" w:fill="auto"/>
            <w:vAlign w:val="center"/>
          </w:tcPr>
          <w:p>
            <w:r>
              <w:rPr>
                <w:rFonts w:hint="eastAsia" w:ascii="Times New Roman" w:hAnsi="Times New Roman" w:eastAsia="仿宋_GB2312" w:cs="Times New Roman"/>
              </w:rPr>
              <w:t>效益指标</w:t>
            </w:r>
          </w:p>
        </w:tc>
        <w:tc>
          <w:tcPr>
            <w:tcW w:w="1701"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及时完成率</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及时完成率</w:t>
            </w:r>
          </w:p>
        </w:tc>
        <w:tc>
          <w:tcPr>
            <w:tcW w:w="155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550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三政办【2018】224号三河市人民政府办公室关于印发《三河市农村产权交易中心组建方案》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1701"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推动农村交易有序流动</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预计推动农村交易有序流动</w:t>
            </w:r>
          </w:p>
        </w:tc>
        <w:tc>
          <w:tcPr>
            <w:tcW w:w="1559" w:type="dxa"/>
            <w:shd w:val="clear" w:color="auto" w:fill="auto"/>
            <w:vAlign w:val="center"/>
          </w:tcPr>
          <w:p>
            <w:pPr>
              <w:pStyle w:val="14"/>
              <w:ind w:firstLine="420" w:firstLineChars="2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550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三安办（2017）149号文件关于印发《马凯副总理合郭声琨、王勇国务委员在全国安全生产电视电话会议上的讲话》的通知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tc>
        <w:tc>
          <w:tcPr>
            <w:tcW w:w="170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可持续影响指标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长期使用性</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能够长期较好地为农服务</w:t>
            </w:r>
          </w:p>
        </w:tc>
        <w:tc>
          <w:tcPr>
            <w:tcW w:w="1559" w:type="dxa"/>
            <w:shd w:val="clear" w:color="auto" w:fill="auto"/>
            <w:vAlign w:val="center"/>
          </w:tcPr>
          <w:p>
            <w:pPr>
              <w:pStyle w:val="14"/>
              <w:ind w:firstLine="420" w:firstLineChars="2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1年</w:t>
            </w:r>
          </w:p>
        </w:tc>
        <w:tc>
          <w:tcPr>
            <w:tcW w:w="550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三政办【2018】224号三河市人民政府办公室关于印发《三河市农村产权交易中心组建方案》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701"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1984"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1559"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550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autoSpaceDE w:val="0"/>
        <w:autoSpaceDN w:val="0"/>
        <w:adjustRightInd w:val="0"/>
        <w:spacing w:line="584" w:lineRule="exact"/>
        <w:jc w:val="left"/>
        <w:rPr>
          <w:rFonts w:hint="eastAsia" w:ascii="Times New Roman" w:hAnsi="Times New Roman" w:eastAsia="仿宋_GB2312" w:cs="Times New Roman"/>
          <w:sz w:val="28"/>
        </w:rPr>
      </w:pPr>
      <w:r>
        <w:rPr>
          <w:rFonts w:hint="eastAsia" w:ascii="Times New Roman" w:hAnsi="Times New Roman" w:eastAsia="仿宋_GB2312" w:cs="Times New Roman"/>
          <w:sz w:val="28"/>
        </w:rPr>
        <w:t>4．解决历史遗留问题经费绩效目标表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2126"/>
        <w:gridCol w:w="1985"/>
        <w:gridCol w:w="2977"/>
        <w:gridCol w:w="1417"/>
        <w:gridCol w:w="42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4" w:type="dxa"/>
            <w:gridSpan w:val="5"/>
            <w:shd w:val="clear" w:color="auto" w:fill="auto"/>
            <w:vAlign w:val="center"/>
          </w:tcPr>
          <w:p>
            <w:p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rPr>
              <w:t>1.通过解决历史遗留问题项目的开展，可持续影响单位对服务社会能力明显提升，实现社会效益被补助人群在生活、医疗、等方面问题情况明显改善</w:t>
            </w:r>
          </w:p>
          <w:p>
            <w:p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rPr>
              <w:t>2.通过解决历史遗留问题项目的开展，因伤病、残疾等原因不能再就业者，对无经济来源的困难家庭补助</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3.通过解决历史遗留问题项目的开展，保障机关党工委工作,处理老干部、伤残人员、下岗职工困难补助、遗属等问题，维护社会稳定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1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422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restart"/>
            <w:shd w:val="clear" w:color="auto" w:fill="auto"/>
            <w:vAlign w:val="center"/>
          </w:tcPr>
          <w:p>
            <w:pPr>
              <w:pStyle w:val="15"/>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p>
            <w:pPr>
              <w:pStyle w:val="15"/>
              <w:rPr>
                <w:rFonts w:ascii="Times New Roman" w:hAnsi="Times New Roman" w:eastAsia="仿宋_GB2312" w:cs="Times New Roman"/>
                <w:kern w:val="2"/>
                <w:szCs w:val="22"/>
                <w:lang w:eastAsia="zh-CN"/>
              </w:rPr>
            </w:pPr>
          </w:p>
        </w:tc>
        <w:tc>
          <w:tcPr>
            <w:tcW w:w="2126"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补助个人（家庭）数量</w:t>
            </w:r>
          </w:p>
        </w:tc>
        <w:tc>
          <w:tcPr>
            <w:tcW w:w="297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补助的人数或户数</w:t>
            </w:r>
          </w:p>
        </w:tc>
        <w:tc>
          <w:tcPr>
            <w:tcW w:w="1417"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≥10人</w:t>
            </w:r>
          </w:p>
        </w:tc>
        <w:tc>
          <w:tcPr>
            <w:tcW w:w="4229"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对伤残人员、下岗职工特困人员的补助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26"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补助金 发放率</w:t>
            </w:r>
          </w:p>
        </w:tc>
        <w:tc>
          <w:tcPr>
            <w:tcW w:w="297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实际发放的补助金金额占计划发放的补助金额</w:t>
            </w:r>
          </w:p>
        </w:tc>
        <w:tc>
          <w:tcPr>
            <w:tcW w:w="1417"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rPr>
                <w:rFonts w:ascii="Times New Roman" w:hAnsi="Times New Roman" w:eastAsia="仿宋_GB2312" w:cs="Times New Roman"/>
              </w:rPr>
            </w:pPr>
          </w:p>
        </w:tc>
        <w:tc>
          <w:tcPr>
            <w:tcW w:w="2126"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工作完成时间</w:t>
            </w:r>
          </w:p>
        </w:tc>
        <w:tc>
          <w:tcPr>
            <w:tcW w:w="297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预计12月份完成此项工作</w:t>
            </w:r>
          </w:p>
        </w:tc>
        <w:tc>
          <w:tcPr>
            <w:tcW w:w="1417"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1年</w:t>
            </w:r>
          </w:p>
        </w:tc>
        <w:tc>
          <w:tcPr>
            <w:tcW w:w="422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实际工作安排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rPr>
                <w:rFonts w:ascii="Times New Roman" w:hAnsi="Times New Roman" w:eastAsia="仿宋_GB2312" w:cs="Times New Roman"/>
              </w:rPr>
            </w:pPr>
          </w:p>
        </w:tc>
        <w:tc>
          <w:tcPr>
            <w:tcW w:w="2126"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特困人员每人补助标准</w:t>
            </w:r>
          </w:p>
        </w:tc>
        <w:tc>
          <w:tcPr>
            <w:tcW w:w="297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特困、伤残人员每人补助标准</w:t>
            </w:r>
          </w:p>
        </w:tc>
        <w:tc>
          <w:tcPr>
            <w:tcW w:w="1417"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 xml:space="preserve">≤800元 </w:t>
            </w:r>
          </w:p>
        </w:tc>
        <w:tc>
          <w:tcPr>
            <w:tcW w:w="422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 xml:space="preserve">计划标准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shd w:val="clear" w:color="auto" w:fill="auto"/>
            <w:vAlign w:val="center"/>
          </w:tcPr>
          <w:p>
            <w:r>
              <w:rPr>
                <w:rFonts w:hint="eastAsia" w:ascii="Times New Roman" w:hAnsi="Times New Roman" w:eastAsia="仿宋_GB2312" w:cs="Times New Roman"/>
              </w:rPr>
              <w:t>效益指标</w:t>
            </w:r>
          </w:p>
        </w:tc>
        <w:tc>
          <w:tcPr>
            <w:tcW w:w="2126"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社会效益补助人群生活改善率</w:t>
            </w:r>
          </w:p>
        </w:tc>
        <w:tc>
          <w:tcPr>
            <w:tcW w:w="297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补助人群在生活、医疗、护理、教育等方面的改善情况</w:t>
            </w:r>
          </w:p>
        </w:tc>
        <w:tc>
          <w:tcPr>
            <w:tcW w:w="141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明显改善</w:t>
            </w:r>
          </w:p>
        </w:tc>
        <w:tc>
          <w:tcPr>
            <w:tcW w:w="4229"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w:t>
            </w:r>
            <w:r>
              <w:rPr>
                <w:rFonts w:hint="eastAsia" w:ascii="Times New Roman" w:hAnsi="Times New Roman" w:eastAsia="仿宋_GB2312" w:cs="Times New Roman"/>
                <w:kern w:val="2"/>
                <w:szCs w:val="22"/>
                <w:lang w:eastAsia="zh-CN"/>
              </w:rPr>
              <w:t>受益群体满意度</w:t>
            </w:r>
            <w:r>
              <w:rPr>
                <w:rFonts w:hint="eastAsia" w:ascii="Times New Roman" w:hAnsi="Times New Roman" w:eastAsia="仿宋_GB2312" w:cs="Times New Roman"/>
                <w:kern w:val="2"/>
                <w:szCs w:val="22"/>
                <w:lang w:eastAsia="zh-CN"/>
              </w:rPr>
              <w:tab/>
            </w:r>
          </w:p>
        </w:tc>
        <w:tc>
          <w:tcPr>
            <w:tcW w:w="2977"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w:t>
            </w:r>
          </w:p>
        </w:tc>
        <w:tc>
          <w:tcPr>
            <w:tcW w:w="1417" w:type="dxa"/>
            <w:shd w:val="clear" w:color="auto" w:fill="auto"/>
            <w:vAlign w:val="center"/>
          </w:tcPr>
          <w:p>
            <w:pPr>
              <w:pStyle w:val="14"/>
              <w:ind w:firstLine="210" w:firstLineChars="1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4229" w:type="dxa"/>
            <w:shd w:val="clear" w:color="auto" w:fill="auto"/>
            <w:vAlign w:val="center"/>
          </w:tcPr>
          <w:p>
            <w:pPr>
              <w:pStyle w:val="14"/>
              <w:ind w:firstLine="420" w:firstLineChars="20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调查走访</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rPr>
      </w:pPr>
    </w:p>
    <w:p>
      <w:pPr>
        <w:autoSpaceDE w:val="0"/>
        <w:autoSpaceDN w:val="0"/>
        <w:adjustRightInd w:val="0"/>
        <w:spacing w:line="584" w:lineRule="exact"/>
        <w:jc w:val="left"/>
        <w:rPr>
          <w:rFonts w:hint="eastAsia" w:ascii="Times New Roman" w:hAnsi="Times New Roman" w:eastAsia="黑体" w:cs="Times New Roman"/>
          <w:color w:val="FF0000"/>
          <w:sz w:val="44"/>
          <w:szCs w:val="44"/>
        </w:rPr>
      </w:pPr>
    </w:p>
    <w:p>
      <w:pPr>
        <w:autoSpaceDE w:val="0"/>
        <w:autoSpaceDN w:val="0"/>
        <w:adjustRightInd w:val="0"/>
        <w:spacing w:line="584" w:lineRule="exact"/>
        <w:jc w:val="left"/>
        <w:rPr>
          <w:rFonts w:hint="eastAsia" w:ascii="Times New Roman" w:hAnsi="Times New Roman" w:eastAsia="黑体" w:cs="Times New Roman"/>
          <w:color w:val="FF0000"/>
          <w:sz w:val="44"/>
          <w:szCs w:val="44"/>
        </w:rPr>
      </w:pPr>
    </w:p>
    <w:p>
      <w:pPr>
        <w:autoSpaceDE w:val="0"/>
        <w:autoSpaceDN w:val="0"/>
        <w:adjustRightInd w:val="0"/>
        <w:spacing w:line="584" w:lineRule="exact"/>
        <w:jc w:val="left"/>
        <w:rPr>
          <w:rFonts w:hint="eastAsia" w:ascii="Times New Roman" w:hAnsi="Times New Roman" w:eastAsia="黑体" w:cs="Times New Roman"/>
          <w:color w:val="FF0000"/>
          <w:sz w:val="44"/>
          <w:szCs w:val="44"/>
        </w:rPr>
      </w:pPr>
    </w:p>
    <w:p>
      <w:pPr>
        <w:autoSpaceDE w:val="0"/>
        <w:autoSpaceDN w:val="0"/>
        <w:adjustRightInd w:val="0"/>
        <w:spacing w:line="584" w:lineRule="exact"/>
        <w:jc w:val="left"/>
        <w:rPr>
          <w:rFonts w:hint="eastAsia"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农民经济组织及农民专业合作社培训学习经费绩效目标表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8"/>
        <w:gridCol w:w="2126"/>
        <w:gridCol w:w="1985"/>
        <w:gridCol w:w="3118"/>
        <w:gridCol w:w="1985"/>
        <w:gridCol w:w="3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2734" w:type="dxa"/>
            <w:gridSpan w:val="5"/>
            <w:shd w:val="clear" w:color="auto" w:fill="auto"/>
            <w:vAlign w:val="center"/>
          </w:tcPr>
          <w:p>
            <w:p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rPr>
              <w:t>1.通过开展农民经济组织及农民专业合作社的培训及学习,把供销社打造成于农民合作联结更密切的为农服务系统，在农资供应、农产品流通、农民技能培训等领域为农民提供便实惠优质安全的服务。</w:t>
            </w:r>
          </w:p>
          <w:p>
            <w:pPr>
              <w:spacing w:line="300" w:lineRule="exact"/>
              <w:rPr>
                <w:rFonts w:hint="eastAsia" w:ascii="Times New Roman" w:hAnsi="Times New Roman" w:eastAsia="仿宋_GB2312" w:cs="Times New Roman"/>
                <w:b/>
              </w:rPr>
            </w:pPr>
            <w:r>
              <w:rPr>
                <w:rFonts w:hint="eastAsia" w:ascii="Times New Roman" w:hAnsi="Times New Roman" w:eastAsia="仿宋_GB2312" w:cs="Times New Roman"/>
                <w:b/>
              </w:rPr>
              <w:t>2.通过开展农民经济组织及农民专业合作社的培训及学习,紧紧围绕“三农”工作大局，面向农业现代化、面向农民生产生活，推动供销合作社由流通服务向全程农业社会化服务延伸，加快形成综合性、规模化、可持续的为农服务体系。</w:t>
            </w:r>
          </w:p>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3.通过开展农民经济组织及农民专业合作社的培训及学习，明显提高业务能力，为农民提优质的服务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132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2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1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5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restart"/>
            <w:shd w:val="clear" w:color="auto" w:fill="auto"/>
            <w:vAlign w:val="center"/>
          </w:tcPr>
          <w:p>
            <w:pPr>
              <w:pStyle w:val="15"/>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产出指标</w:t>
            </w:r>
          </w:p>
          <w:p>
            <w:pPr>
              <w:pStyle w:val="15"/>
              <w:rPr>
                <w:rFonts w:ascii="Times New Roman" w:hAnsi="Times New Roman" w:eastAsia="仿宋_GB2312" w:cs="Times New Roman"/>
                <w:kern w:val="2"/>
                <w:szCs w:val="22"/>
                <w:lang w:eastAsia="zh-CN"/>
              </w:rPr>
            </w:pPr>
          </w:p>
        </w:tc>
        <w:tc>
          <w:tcPr>
            <w:tcW w:w="21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组织培训班次</w:t>
            </w:r>
          </w:p>
        </w:tc>
        <w:tc>
          <w:tcPr>
            <w:tcW w:w="311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组织培训班次</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≥1次</w:t>
            </w:r>
          </w:p>
        </w:tc>
        <w:tc>
          <w:tcPr>
            <w:tcW w:w="35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冀政（2007）132号文件三字（2007）75号文件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pStyle w:val="15"/>
              <w:rPr>
                <w:rFonts w:ascii="Times New Roman" w:hAnsi="Times New Roman" w:eastAsia="仿宋_GB2312" w:cs="Times New Roman"/>
                <w:kern w:val="2"/>
                <w:szCs w:val="22"/>
                <w:lang w:eastAsia="zh-CN"/>
              </w:rPr>
            </w:pPr>
          </w:p>
        </w:tc>
        <w:tc>
          <w:tcPr>
            <w:tcW w:w="21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数量指标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培训参加人次</w:t>
            </w:r>
          </w:p>
        </w:tc>
        <w:tc>
          <w:tcPr>
            <w:tcW w:w="311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培训参加人次</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≥2人</w:t>
            </w:r>
          </w:p>
        </w:tc>
        <w:tc>
          <w:tcPr>
            <w:tcW w:w="35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冀政（2007）132号文件三字（2007）75号文件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质量指标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培训合格率</w:t>
            </w:r>
          </w:p>
        </w:tc>
        <w:tc>
          <w:tcPr>
            <w:tcW w:w="311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培训合格的学员数量占培训总学员数量的比率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35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总社提供合格结业证明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rPr>
                <w:rFonts w:ascii="Times New Roman" w:hAnsi="Times New Roman" w:eastAsia="仿宋_GB2312" w:cs="Times New Roman"/>
              </w:rPr>
            </w:pPr>
          </w:p>
        </w:tc>
        <w:tc>
          <w:tcPr>
            <w:tcW w:w="21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时效指标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及时完成率</w:t>
            </w:r>
          </w:p>
        </w:tc>
        <w:tc>
          <w:tcPr>
            <w:tcW w:w="311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及时完成率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35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vMerge w:val="continue"/>
            <w:shd w:val="clear" w:color="auto" w:fill="auto"/>
            <w:vAlign w:val="center"/>
          </w:tcPr>
          <w:p>
            <w:pPr>
              <w:rPr>
                <w:rFonts w:ascii="Times New Roman" w:hAnsi="Times New Roman" w:eastAsia="仿宋_GB2312" w:cs="Times New Roman"/>
              </w:rPr>
            </w:pPr>
          </w:p>
        </w:tc>
        <w:tc>
          <w:tcPr>
            <w:tcW w:w="2126"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成本指标</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费用标准</w:t>
            </w:r>
          </w:p>
        </w:tc>
        <w:tc>
          <w:tcPr>
            <w:tcW w:w="3118"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平均每次每人培训费用标准</w:t>
            </w:r>
          </w:p>
        </w:tc>
        <w:tc>
          <w:tcPr>
            <w:tcW w:w="1985"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≤0.5万元</w:t>
            </w:r>
          </w:p>
        </w:tc>
        <w:tc>
          <w:tcPr>
            <w:tcW w:w="3520" w:type="dxa"/>
            <w:shd w:val="clear" w:color="auto" w:fill="auto"/>
            <w:vAlign w:val="center"/>
          </w:tcPr>
          <w:p>
            <w:pPr>
              <w:pStyle w:val="14"/>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shd w:val="clear" w:color="auto" w:fill="auto"/>
            <w:vAlign w:val="center"/>
          </w:tcPr>
          <w:p>
            <w:r>
              <w:rPr>
                <w:rFonts w:hint="eastAsia" w:ascii="Times New Roman" w:hAnsi="Times New Roman" w:eastAsia="仿宋_GB2312" w:cs="Times New Roman"/>
              </w:rPr>
              <w:t>效益指标</w:t>
            </w:r>
          </w:p>
        </w:tc>
        <w:tc>
          <w:tcPr>
            <w:tcW w:w="2126"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社会效益指标</w:t>
            </w:r>
          </w:p>
        </w:tc>
        <w:tc>
          <w:tcPr>
            <w:tcW w:w="198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开展项目产生的效益</w:t>
            </w:r>
          </w:p>
        </w:tc>
        <w:tc>
          <w:tcPr>
            <w:tcW w:w="3118"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提高业务能力提升率</w:t>
            </w:r>
          </w:p>
        </w:tc>
        <w:tc>
          <w:tcPr>
            <w:tcW w:w="198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3520"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培训报告及实际工作体现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1328"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26"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服务对象满意度指标</w:t>
            </w:r>
          </w:p>
        </w:tc>
        <w:tc>
          <w:tcPr>
            <w:tcW w:w="198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受训学员满意度</w:t>
            </w:r>
          </w:p>
        </w:tc>
        <w:tc>
          <w:tcPr>
            <w:tcW w:w="3118"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受训学员满意度</w:t>
            </w:r>
          </w:p>
        </w:tc>
        <w:tc>
          <w:tcPr>
            <w:tcW w:w="1985"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100%</w:t>
            </w:r>
          </w:p>
        </w:tc>
        <w:tc>
          <w:tcPr>
            <w:tcW w:w="3520" w:type="dxa"/>
            <w:shd w:val="clear" w:color="auto" w:fill="auto"/>
            <w:vAlign w:val="center"/>
          </w:tcPr>
          <w:p>
            <w:pPr>
              <w:pStyle w:val="14"/>
              <w:ind w:left="420"/>
              <w:rPr>
                <w:rFonts w:ascii="Times New Roman" w:hAnsi="Times New Roman" w:eastAsia="仿宋_GB2312" w:cs="Times New Roman"/>
                <w:kern w:val="2"/>
                <w:szCs w:val="22"/>
                <w:lang w:eastAsia="zh-CN"/>
              </w:rPr>
            </w:pPr>
            <w:r>
              <w:rPr>
                <w:rFonts w:ascii="Times New Roman" w:hAnsi="Times New Roman" w:eastAsia="仿宋_GB2312" w:cs="Times New Roman"/>
                <w:kern w:val="2"/>
                <w:szCs w:val="22"/>
                <w:lang w:eastAsia="zh-CN"/>
              </w:rPr>
              <w:t>调查问卷</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rPr>
      </w:pPr>
    </w:p>
    <w:p>
      <w:pPr>
        <w:autoSpaceDE w:val="0"/>
        <w:autoSpaceDN w:val="0"/>
        <w:adjustRightInd w:val="0"/>
        <w:spacing w:line="584" w:lineRule="exact"/>
        <w:jc w:val="left"/>
        <w:rPr>
          <w:rFonts w:hint="eastAsia" w:ascii="Times New Roman" w:hAnsi="Times New Roman" w:eastAsia="黑体" w:cs="Times New Roman"/>
          <w:color w:val="FF0000"/>
          <w:sz w:val="44"/>
          <w:szCs w:val="44"/>
        </w:rPr>
      </w:pPr>
    </w:p>
    <w:p>
      <w:pPr>
        <w:autoSpaceDE w:val="0"/>
        <w:autoSpaceDN w:val="0"/>
        <w:adjustRightInd w:val="0"/>
        <w:spacing w:line="584" w:lineRule="exact"/>
        <w:jc w:val="left"/>
        <w:rPr>
          <w:rFonts w:ascii="Times New Roman" w:hAnsi="Times New Roman"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rPr>
        <w:t>三河</w:t>
      </w:r>
      <w:r>
        <w:t>市</w:t>
      </w:r>
      <w:r>
        <w:rPr>
          <w:rFonts w:hint="eastAsia"/>
        </w:rPr>
        <w:t>供销合作社</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hint="eastAsia"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供销合作社联合社</w:t>
      </w:r>
      <w:r>
        <w:rPr>
          <w:rFonts w:ascii="Times New Roman" w:hAnsi="Times New Roman" w:eastAsia="仿宋_GB2312" w:cs="Times New Roman"/>
          <w:sz w:val="32"/>
          <w:szCs w:val="32"/>
        </w:rPr>
        <w:t>（含所属单位）上年末固定资产金额为1117.74万元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rPr>
              <w:t>供销合作社联合社</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1117.74</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3998.21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1040.58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900.73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12.58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w:t>
            </w:r>
            <w:bookmarkStart w:id="3" w:name="_GoBack"/>
            <w:bookmarkEnd w:id="3"/>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64.58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230E6"/>
    <w:rsid w:val="00086E2F"/>
    <w:rsid w:val="000B5C4A"/>
    <w:rsid w:val="000E5891"/>
    <w:rsid w:val="001714BB"/>
    <w:rsid w:val="00190075"/>
    <w:rsid w:val="001E13C6"/>
    <w:rsid w:val="0025632D"/>
    <w:rsid w:val="002805E9"/>
    <w:rsid w:val="002E5A02"/>
    <w:rsid w:val="00354B70"/>
    <w:rsid w:val="0036633C"/>
    <w:rsid w:val="003A6D39"/>
    <w:rsid w:val="003D0610"/>
    <w:rsid w:val="0041633A"/>
    <w:rsid w:val="0049510C"/>
    <w:rsid w:val="004A54AA"/>
    <w:rsid w:val="004E540A"/>
    <w:rsid w:val="004F343A"/>
    <w:rsid w:val="005A2FBD"/>
    <w:rsid w:val="005F3A83"/>
    <w:rsid w:val="00650A7B"/>
    <w:rsid w:val="0068562D"/>
    <w:rsid w:val="0077481C"/>
    <w:rsid w:val="007D417B"/>
    <w:rsid w:val="007E4C11"/>
    <w:rsid w:val="0081131E"/>
    <w:rsid w:val="00875CF4"/>
    <w:rsid w:val="00944233"/>
    <w:rsid w:val="009C6E8D"/>
    <w:rsid w:val="009F0D06"/>
    <w:rsid w:val="00A806D6"/>
    <w:rsid w:val="00AB1C0A"/>
    <w:rsid w:val="00AB4033"/>
    <w:rsid w:val="00AE7361"/>
    <w:rsid w:val="00B40732"/>
    <w:rsid w:val="00B80935"/>
    <w:rsid w:val="00BA1C16"/>
    <w:rsid w:val="00CD6363"/>
    <w:rsid w:val="00CF1CD8"/>
    <w:rsid w:val="00D347CC"/>
    <w:rsid w:val="00D446AE"/>
    <w:rsid w:val="00E4642E"/>
    <w:rsid w:val="00F8546E"/>
    <w:rsid w:val="00FB543F"/>
    <w:rsid w:val="039E2093"/>
    <w:rsid w:val="074306DB"/>
    <w:rsid w:val="0A7F5C09"/>
    <w:rsid w:val="0C946333"/>
    <w:rsid w:val="10292712"/>
    <w:rsid w:val="10C10059"/>
    <w:rsid w:val="166C13C7"/>
    <w:rsid w:val="1E68736C"/>
    <w:rsid w:val="26071CD7"/>
    <w:rsid w:val="307C569F"/>
    <w:rsid w:val="308226C9"/>
    <w:rsid w:val="31DC2835"/>
    <w:rsid w:val="3AFD2A1C"/>
    <w:rsid w:val="3CBF341E"/>
    <w:rsid w:val="56983779"/>
    <w:rsid w:val="58393836"/>
    <w:rsid w:val="69080A09"/>
    <w:rsid w:val="77F2669D"/>
    <w:rsid w:val="7F613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正文1"/>
    <w:basedOn w:val="20"/>
    <w:qFormat/>
    <w:uiPriority w:val="0"/>
    <w:pPr>
      <w:jc w:val="both"/>
    </w:pPr>
    <w:rPr>
      <w:rFonts w:ascii="Times New Roman" w:hAnsi="Times New Roman" w:eastAsia="Times New Roman"/>
      <w:sz w:val="21"/>
    </w:rPr>
  </w:style>
  <w:style w:type="paragraph" w:customStyle="1" w:styleId="20">
    <w:name w:val="[Normal]"/>
    <w:qFormat/>
    <w:uiPriority w:val="0"/>
    <w:rPr>
      <w:rFonts w:ascii="宋体" w:hAnsi="宋体" w:eastAsia="宋体" w:cs="Times New Roman"/>
      <w:sz w:val="24"/>
      <w:lang w:val="en-US" w:eastAsia="en-US" w:bidi="ar-SA"/>
    </w:rPr>
  </w:style>
  <w:style w:type="paragraph" w:customStyle="1" w:styleId="21">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9BAB7D-8A83-48F9-BACD-E2C7BE7B498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1405</Words>
  <Characters>8015</Characters>
  <Lines>66</Lines>
  <Paragraphs>18</Paragraphs>
  <TotalTime>3</TotalTime>
  <ScaleCrop>false</ScaleCrop>
  <LinksUpToDate>false</LinksUpToDate>
  <CharactersWithSpaces>9402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2023-10-09T13:54:18Z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4E44EDF0EF9F46F78136DEDCDFA20100</vt:lpwstr>
  </property>
</Properties>
</file>